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4"/>
          <w:szCs w:val="24"/>
          <w:vertAlign w:val="baseline"/>
          <w:rtl w:val="0"/>
        </w:rPr>
        <w:t xml:space="preserve">Notice of the Tuesday, February 5, 2008, 4:50 p.m. special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4"/>
          <w:szCs w:val="24"/>
          <w:vertAlign w:val="baseline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 at 4:50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Present:  Mrs. Lyons, Mr. Messersmith, Mr. Bredvick, Mr. Larson, Mr.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Absent:  Mr. Shields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C.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Approve Resolution to call bonds.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Gonzales, seconded by Lyons, to “ approve the resolution to call bonds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Absent:  Shields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Approve Resolution to issue bonds.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Gonzales, seconded by Lyons, to “ approve the resolution to issue bonds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Absent:  Shields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Adjournment by President Larson at 5:03 p.m.</w:t>
      </w: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 </w:t>
      </w:r>
    </w:p>
    <w:sectPr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